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pPr>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rFonts w:ascii="楷体" w:hAnsi="楷体" w:eastAsia="楷体"/>
                <w:sz w:val="24"/>
                <w:szCs w:val="24"/>
              </w:rPr>
            </w:pPr>
            <w:r>
              <w:rPr>
                <w:rFonts w:hint="eastAsia" w:ascii="楷体" w:hAnsi="楷体" w:eastAsia="楷体"/>
                <w:sz w:val="24"/>
                <w:szCs w:val="24"/>
              </w:rPr>
              <w:t>邓富华</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rFonts w:ascii="楷体" w:hAnsi="楷体" w:eastAsia="楷体"/>
                <w:sz w:val="24"/>
                <w:szCs w:val="24"/>
              </w:rPr>
            </w:pPr>
            <w:r>
              <w:rPr>
                <w:rFonts w:hint="eastAsia" w:ascii="楷体" w:hAnsi="楷体" w:eastAsia="楷体"/>
                <w:sz w:val="24"/>
                <w:szCs w:val="24"/>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rFonts w:ascii="楷体" w:hAnsi="楷体" w:eastAsia="楷体"/>
                <w:sz w:val="24"/>
                <w:szCs w:val="24"/>
              </w:rPr>
            </w:pPr>
            <w:r>
              <w:rPr>
                <w:rFonts w:hint="eastAsia" w:ascii="楷体" w:hAnsi="楷体" w:eastAsia="楷体"/>
                <w:sz w:val="24"/>
                <w:szCs w:val="24"/>
              </w:rPr>
              <w:t>国家自然科学基金项目</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center"/>
              <w:rPr>
                <w:rFonts w:ascii="楷体" w:hAnsi="楷体" w:eastAsia="楷体"/>
                <w:sz w:val="24"/>
                <w:szCs w:val="24"/>
              </w:rPr>
            </w:pPr>
            <w:bookmarkStart w:id="0" w:name="_Hlk67041588"/>
            <w:r>
              <w:rPr>
                <w:rFonts w:hint="eastAsia" w:ascii="楷体" w:hAnsi="楷体" w:eastAsia="楷体"/>
                <w:sz w:val="24"/>
                <w:szCs w:val="24"/>
              </w:rPr>
              <w:t>人民币跨境结算的制度约束、交易者认知偏差及贸易效应研究</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rFonts w:ascii="楷体" w:hAnsi="楷体" w:eastAsia="楷体"/>
                <w:sz w:val="24"/>
                <w:szCs w:val="24"/>
              </w:rPr>
            </w:pPr>
            <w:r>
              <w:rPr>
                <w:rFonts w:ascii="楷体" w:hAnsi="楷体" w:eastAsia="楷体"/>
                <w:sz w:val="24"/>
                <w:szCs w:val="24"/>
              </w:rPr>
              <w:t>71903161</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jc w:val="center"/>
              <w:rPr>
                <w:rFonts w:ascii="楷体" w:hAnsi="楷体" w:eastAsia="楷体"/>
                <w:sz w:val="24"/>
                <w:szCs w:val="24"/>
              </w:rPr>
            </w:pPr>
            <w:r>
              <w:rPr>
                <w:rFonts w:hint="eastAsia" w:ascii="楷体" w:hAnsi="楷体" w:eastAsia="楷体"/>
                <w:sz w:val="24"/>
                <w:szCs w:val="24"/>
              </w:rPr>
              <w:t>国际贸易与金融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spacing w:before="156" w:beforeLines="50" w:after="156" w:afterLines="50" w:line="360" w:lineRule="auto"/>
              <w:ind w:firstLine="480" w:firstLineChars="200"/>
              <w:rPr>
                <w:rFonts w:ascii="宋体" w:hAnsi="宋体" w:eastAsia="宋体" w:cs="Times New Roman"/>
                <w:sz w:val="24"/>
                <w:szCs w:val="24"/>
              </w:rPr>
            </w:pPr>
            <w:r>
              <w:rPr>
                <w:rFonts w:hint="eastAsia" w:ascii="楷体" w:hAnsi="楷体" w:eastAsia="楷体" w:cs="Times New Roman"/>
                <w:sz w:val="24"/>
                <w:szCs w:val="24"/>
              </w:rPr>
              <w:t>中美贸易摩擦叠加新冠</w:t>
            </w:r>
            <w:r>
              <w:rPr>
                <w:rFonts w:ascii="楷体" w:hAnsi="楷体" w:eastAsia="楷体" w:cs="Times New Roman"/>
                <w:sz w:val="24"/>
                <w:szCs w:val="24"/>
              </w:rPr>
              <w:t>肺炎</w:t>
            </w:r>
            <w:r>
              <w:rPr>
                <w:rFonts w:hint="eastAsia" w:ascii="楷体" w:hAnsi="楷体" w:eastAsia="楷体" w:cs="Times New Roman"/>
                <w:sz w:val="24"/>
                <w:szCs w:val="24"/>
              </w:rPr>
              <w:t>疫情全球蔓延，使得中国对外贸易发展遭遇困境，而推动“双循</w:t>
            </w:r>
            <w:r>
              <w:rPr>
                <w:rFonts w:ascii="楷体" w:hAnsi="楷体" w:eastAsia="楷体" w:cs="Times New Roman"/>
                <w:sz w:val="24"/>
                <w:szCs w:val="24"/>
              </w:rPr>
              <w:t>环</w:t>
            </w:r>
            <w:r>
              <w:rPr>
                <w:rFonts w:hint="eastAsia" w:ascii="楷体" w:hAnsi="楷体" w:eastAsia="楷体" w:cs="Times New Roman"/>
                <w:sz w:val="24"/>
                <w:szCs w:val="24"/>
              </w:rPr>
              <w:t>”新发展格局，</w:t>
            </w:r>
            <w:r>
              <w:rPr>
                <w:rFonts w:ascii="楷体" w:hAnsi="楷体" w:eastAsia="楷体" w:cs="Times New Roman"/>
                <w:sz w:val="24"/>
                <w:szCs w:val="24"/>
              </w:rPr>
              <w:t>疏通</w:t>
            </w:r>
            <w:r>
              <w:rPr>
                <w:rFonts w:hint="eastAsia" w:ascii="楷体" w:hAnsi="楷体" w:eastAsia="楷体" w:cs="Times New Roman"/>
                <w:sz w:val="24"/>
                <w:szCs w:val="24"/>
              </w:rPr>
              <w:t>商品</w:t>
            </w:r>
            <w:r>
              <w:rPr>
                <w:rFonts w:ascii="楷体" w:hAnsi="楷体" w:eastAsia="楷体" w:cs="Times New Roman"/>
                <w:sz w:val="24"/>
                <w:szCs w:val="24"/>
              </w:rPr>
              <w:t>与</w:t>
            </w:r>
            <w:r>
              <w:rPr>
                <w:rFonts w:hint="eastAsia" w:ascii="楷体" w:hAnsi="楷体" w:eastAsia="楷体" w:cs="Times New Roman"/>
                <w:sz w:val="24"/>
                <w:szCs w:val="24"/>
              </w:rPr>
              <w:t>资金</w:t>
            </w:r>
            <w:r>
              <w:rPr>
                <w:rFonts w:ascii="楷体" w:hAnsi="楷体" w:eastAsia="楷体" w:cs="Times New Roman"/>
                <w:sz w:val="24"/>
                <w:szCs w:val="24"/>
              </w:rPr>
              <w:t>跨境流通的堵点，</w:t>
            </w:r>
            <w:r>
              <w:rPr>
                <w:rFonts w:hint="eastAsia" w:ascii="楷体" w:hAnsi="楷体" w:eastAsia="楷体" w:cs="Times New Roman"/>
                <w:sz w:val="24"/>
                <w:szCs w:val="24"/>
              </w:rPr>
              <w:t>是突破困境的重要策略。在“双循环”新</w:t>
            </w:r>
            <w:r>
              <w:rPr>
                <w:rFonts w:ascii="楷体" w:hAnsi="楷体" w:eastAsia="楷体" w:cs="Times New Roman"/>
                <w:sz w:val="24"/>
                <w:szCs w:val="24"/>
              </w:rPr>
              <w:t>发展格局</w:t>
            </w:r>
            <w:r>
              <w:rPr>
                <w:rFonts w:hint="eastAsia" w:ascii="楷体" w:hAnsi="楷体" w:eastAsia="楷体" w:cs="Times New Roman"/>
                <w:sz w:val="24"/>
                <w:szCs w:val="24"/>
              </w:rPr>
              <w:t>下</w:t>
            </w:r>
            <w:r>
              <w:rPr>
                <w:rFonts w:ascii="楷体" w:hAnsi="楷体" w:eastAsia="楷体" w:cs="Times New Roman"/>
                <w:sz w:val="24"/>
                <w:szCs w:val="24"/>
              </w:rPr>
              <w:t>，</w:t>
            </w:r>
            <w:r>
              <w:rPr>
                <w:rFonts w:hint="eastAsia" w:ascii="楷体" w:hAnsi="楷体" w:eastAsia="楷体" w:cs="Times New Roman"/>
                <w:sz w:val="24"/>
                <w:szCs w:val="24"/>
              </w:rPr>
              <w:t>作为全新的国际合作思路与范式，“一带一路”倡议势必为我国拓展</w:t>
            </w:r>
            <w:r>
              <w:rPr>
                <w:rFonts w:ascii="楷体" w:hAnsi="楷体" w:eastAsia="楷体" w:cs="Times New Roman"/>
                <w:sz w:val="24"/>
                <w:szCs w:val="24"/>
              </w:rPr>
              <w:t>贸易空间和扩大</w:t>
            </w:r>
            <w:r>
              <w:rPr>
                <w:rFonts w:hint="eastAsia" w:ascii="楷体" w:hAnsi="楷体" w:eastAsia="楷体" w:cs="Times New Roman"/>
                <w:sz w:val="24"/>
                <w:szCs w:val="24"/>
              </w:rPr>
              <w:t>人民币国际化带来重大机遇。本课题</w:t>
            </w:r>
            <w:r>
              <w:rPr>
                <w:rFonts w:ascii="楷体" w:hAnsi="楷体" w:eastAsia="楷体" w:cs="Times New Roman"/>
                <w:sz w:val="24"/>
                <w:szCs w:val="24"/>
              </w:rPr>
              <w:t>立足</w:t>
            </w:r>
            <w:r>
              <w:rPr>
                <w:rFonts w:hint="eastAsia" w:ascii="楷体" w:hAnsi="楷体" w:eastAsia="楷体" w:cs="Times New Roman"/>
                <w:sz w:val="24"/>
                <w:szCs w:val="24"/>
              </w:rPr>
              <w:t>“双循环”新</w:t>
            </w:r>
            <w:r>
              <w:rPr>
                <w:rFonts w:ascii="楷体" w:hAnsi="楷体" w:eastAsia="楷体" w:cs="Times New Roman"/>
                <w:sz w:val="24"/>
                <w:szCs w:val="24"/>
              </w:rPr>
              <w:t>发展格局，</w:t>
            </w:r>
            <w:r>
              <w:rPr>
                <w:rFonts w:hint="eastAsia" w:ascii="楷体" w:hAnsi="楷体" w:eastAsia="楷体" w:cs="Times New Roman"/>
                <w:sz w:val="24"/>
                <w:szCs w:val="24"/>
              </w:rPr>
              <w:t>基于我国</w:t>
            </w:r>
            <w:r>
              <w:rPr>
                <w:rFonts w:ascii="楷体" w:hAnsi="楷体" w:eastAsia="楷体" w:cs="Times New Roman"/>
                <w:sz w:val="24"/>
                <w:szCs w:val="24"/>
              </w:rPr>
              <w:t>与</w:t>
            </w:r>
            <w:r>
              <w:rPr>
                <w:rFonts w:hint="eastAsia" w:ascii="楷体" w:hAnsi="楷体" w:eastAsia="楷体" w:cs="Times New Roman"/>
                <w:sz w:val="24"/>
                <w:szCs w:val="24"/>
              </w:rPr>
              <w:t>“一带一路”倡议的双边贸易，深入考察我</w:t>
            </w:r>
            <w:r>
              <w:rPr>
                <w:rFonts w:ascii="楷体" w:hAnsi="楷体" w:eastAsia="楷体" w:cs="Times New Roman"/>
                <w:sz w:val="24"/>
                <w:szCs w:val="24"/>
              </w:rPr>
              <w:t>国与沿线国家</w:t>
            </w:r>
            <w:r>
              <w:rPr>
                <w:rFonts w:hint="eastAsia" w:ascii="楷体" w:hAnsi="楷体" w:eastAsia="楷体" w:cs="Times New Roman"/>
                <w:sz w:val="24"/>
                <w:szCs w:val="24"/>
              </w:rPr>
              <w:t>金融发展差异对进出口贸易的动态影响，并且在“一带一路”的互联互通导向下，将人民币国际化的异质性影响纳入理论分析框架中，不仅探讨金融发展差异对双边贸易的总量影响，也</w:t>
            </w:r>
            <w:r>
              <w:rPr>
                <w:rFonts w:ascii="楷体" w:hAnsi="楷体" w:eastAsia="楷体" w:cs="Times New Roman"/>
                <w:sz w:val="24"/>
                <w:szCs w:val="24"/>
              </w:rPr>
              <w:t>引入</w:t>
            </w:r>
            <w:r>
              <w:rPr>
                <w:rFonts w:hint="eastAsia" w:ascii="楷体" w:hAnsi="楷体" w:eastAsia="楷体" w:cs="Times New Roman"/>
                <w:sz w:val="24"/>
                <w:szCs w:val="24"/>
              </w:rPr>
              <w:t>门槛模型，探究人民币国际化在不同阈值区间时我国</w:t>
            </w:r>
            <w:r>
              <w:rPr>
                <w:rFonts w:ascii="楷体" w:hAnsi="楷体" w:eastAsia="楷体" w:cs="Times New Roman"/>
                <w:sz w:val="24"/>
                <w:szCs w:val="24"/>
              </w:rPr>
              <w:t>与沿线国家</w:t>
            </w:r>
            <w:r>
              <w:rPr>
                <w:rFonts w:hint="eastAsia" w:ascii="楷体" w:hAnsi="楷体" w:eastAsia="楷体" w:cs="Times New Roman"/>
                <w:sz w:val="24"/>
                <w:szCs w:val="24"/>
              </w:rPr>
              <w:t>金融发展差异影响双边贸易的异质性。本课题</w:t>
            </w:r>
            <w:r>
              <w:rPr>
                <w:rFonts w:ascii="楷体" w:hAnsi="楷体" w:eastAsia="楷体" w:cs="Times New Roman"/>
                <w:sz w:val="24"/>
                <w:szCs w:val="24"/>
              </w:rPr>
              <w:t>尝试</w:t>
            </w:r>
            <w:r>
              <w:rPr>
                <w:rFonts w:hint="eastAsia" w:ascii="楷体" w:hAnsi="楷体" w:eastAsia="楷体" w:cs="Times New Roman"/>
                <w:sz w:val="24"/>
                <w:szCs w:val="24"/>
              </w:rPr>
              <w:t>厘清和把握“一带一路”沿线国家之间贸易往来的影响因素，同时通过国际</w:t>
            </w:r>
            <w:r>
              <w:rPr>
                <w:rFonts w:ascii="楷体" w:hAnsi="楷体" w:eastAsia="楷体" w:cs="Times New Roman"/>
                <w:sz w:val="24"/>
                <w:szCs w:val="24"/>
              </w:rPr>
              <w:t>贸易与金融</w:t>
            </w:r>
            <w:r>
              <w:rPr>
                <w:rFonts w:hint="eastAsia" w:ascii="楷体" w:hAnsi="楷体" w:eastAsia="楷体" w:cs="Times New Roman"/>
                <w:sz w:val="24"/>
                <w:szCs w:val="24"/>
              </w:rPr>
              <w:t>的交叉</w:t>
            </w:r>
            <w:r>
              <w:rPr>
                <w:rFonts w:ascii="楷体" w:hAnsi="楷体" w:eastAsia="楷体" w:cs="Times New Roman"/>
                <w:sz w:val="24"/>
                <w:szCs w:val="24"/>
              </w:rPr>
              <w:t>融合</w:t>
            </w:r>
            <w:r>
              <w:rPr>
                <w:rFonts w:hint="eastAsia" w:ascii="楷体" w:hAnsi="楷体" w:eastAsia="楷体" w:cs="Times New Roman"/>
                <w:sz w:val="24"/>
                <w:szCs w:val="24"/>
              </w:rPr>
              <w:t>来</w:t>
            </w:r>
            <w:r>
              <w:rPr>
                <w:rFonts w:ascii="楷体" w:hAnsi="楷体" w:eastAsia="楷体" w:cs="Times New Roman"/>
                <w:sz w:val="24"/>
                <w:szCs w:val="24"/>
              </w:rPr>
              <w:t>丰富和拓展区域贸易发展理论，</w:t>
            </w:r>
            <w:r>
              <w:rPr>
                <w:rFonts w:hint="eastAsia" w:ascii="楷体" w:hAnsi="楷体" w:eastAsia="楷体" w:cs="Times New Roman"/>
                <w:sz w:val="24"/>
                <w:szCs w:val="24"/>
              </w:rPr>
              <w:t>为当前“双循环”新</w:t>
            </w:r>
            <w:r>
              <w:rPr>
                <w:rFonts w:ascii="楷体" w:hAnsi="楷体" w:eastAsia="楷体" w:cs="Times New Roman"/>
                <w:sz w:val="24"/>
                <w:szCs w:val="24"/>
              </w:rPr>
              <w:t>发展</w:t>
            </w:r>
            <w:r>
              <w:rPr>
                <w:rFonts w:hint="eastAsia" w:ascii="楷体" w:hAnsi="楷体" w:eastAsia="楷体" w:cs="Times New Roman"/>
                <w:sz w:val="24"/>
                <w:szCs w:val="24"/>
              </w:rPr>
              <w:t>格局</w:t>
            </w:r>
            <w:r>
              <w:rPr>
                <w:rFonts w:ascii="楷体" w:hAnsi="楷体" w:eastAsia="楷体" w:cs="Times New Roman"/>
                <w:sz w:val="24"/>
                <w:szCs w:val="24"/>
              </w:rPr>
              <w:t>下</w:t>
            </w:r>
            <w:r>
              <w:rPr>
                <w:rFonts w:hint="eastAsia" w:ascii="楷体" w:hAnsi="楷体" w:eastAsia="楷体" w:cs="Times New Roman"/>
                <w:sz w:val="24"/>
                <w:szCs w:val="24"/>
              </w:rPr>
              <w:t>我国深化金融</w:t>
            </w:r>
            <w:r>
              <w:rPr>
                <w:rFonts w:ascii="楷体" w:hAnsi="楷体" w:eastAsia="楷体" w:cs="Times New Roman"/>
                <w:sz w:val="24"/>
                <w:szCs w:val="24"/>
              </w:rPr>
              <w:t>市场</w:t>
            </w:r>
            <w:r>
              <w:rPr>
                <w:rFonts w:hint="eastAsia" w:ascii="楷体" w:hAnsi="楷体" w:eastAsia="楷体" w:cs="Times New Roman"/>
                <w:sz w:val="24"/>
                <w:szCs w:val="24"/>
              </w:rPr>
              <w:t>改革和</w:t>
            </w:r>
            <w:r>
              <w:rPr>
                <w:rFonts w:ascii="楷体" w:hAnsi="楷体" w:eastAsia="楷体" w:cs="Times New Roman"/>
                <w:sz w:val="24"/>
                <w:szCs w:val="24"/>
              </w:rPr>
              <w:t>扩大对外贸易</w:t>
            </w:r>
            <w:r>
              <w:rPr>
                <w:rFonts w:hint="eastAsia" w:ascii="楷体" w:hAnsi="楷体" w:eastAsia="楷体" w:cs="Times New Roman"/>
                <w:sz w:val="24"/>
                <w:szCs w:val="24"/>
              </w:rPr>
              <w:t>提供重要的</w:t>
            </w:r>
            <w:r>
              <w:rPr>
                <w:rFonts w:ascii="楷体" w:hAnsi="楷体" w:eastAsia="楷体" w:cs="Times New Roman"/>
                <w:sz w:val="24"/>
                <w:szCs w:val="24"/>
              </w:rPr>
              <w:t>决策</w:t>
            </w:r>
            <w:r>
              <w:rPr>
                <w:rFonts w:hint="eastAsia" w:ascii="楷体" w:hAnsi="楷体" w:eastAsia="楷体" w:cs="Times New Roman"/>
                <w:sz w:val="24"/>
                <w:szCs w:val="24"/>
              </w:rPr>
              <w:t>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spacing w:line="360" w:lineRule="auto"/>
              <w:jc w:val="center"/>
              <w:rPr>
                <w:rFonts w:ascii="楷体" w:hAnsi="楷体" w:eastAsia="楷体" w:cs="Times New Roman"/>
                <w:b/>
                <w:sz w:val="24"/>
                <w:szCs w:val="24"/>
              </w:rPr>
            </w:pPr>
            <w:bookmarkStart w:id="1" w:name="_Hlk67041649"/>
            <w:r>
              <w:rPr>
                <w:rFonts w:hint="eastAsia" w:ascii="楷体" w:hAnsi="楷体" w:eastAsia="楷体" w:cs="Times New Roman"/>
                <w:b/>
                <w:sz w:val="24"/>
                <w:szCs w:val="24"/>
              </w:rPr>
              <w:t>人民币国际化、金融发展差异与双边贸易</w:t>
            </w:r>
          </w:p>
          <w:p>
            <w:pPr>
              <w:spacing w:line="360" w:lineRule="auto"/>
              <w:ind w:firstLine="480" w:firstLineChars="200"/>
              <w:rPr>
                <w:sz w:val="24"/>
                <w:szCs w:val="24"/>
              </w:rPr>
            </w:pPr>
            <w:r>
              <w:rPr>
                <w:rFonts w:ascii="楷体" w:hAnsi="楷体" w:eastAsia="楷体" w:cs="Times New Roman"/>
                <w:sz w:val="24"/>
                <w:szCs w:val="24"/>
              </w:rPr>
              <w:t>——</w:t>
            </w:r>
            <w:r>
              <w:rPr>
                <w:rFonts w:hint="eastAsia" w:ascii="楷体" w:hAnsi="楷体" w:eastAsia="楷体" w:cs="Times New Roman"/>
                <w:sz w:val="24"/>
                <w:szCs w:val="24"/>
              </w:rPr>
              <w:t>基于“一带一路”国家面板门槛模型的分析</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rPr>
                <w:sz w:val="24"/>
                <w:szCs w:val="24"/>
              </w:rPr>
            </w:pPr>
            <w:r>
              <w:rPr>
                <w:rFonts w:hint="eastAsia"/>
                <w:sz w:val="24"/>
                <w:szCs w:val="24"/>
              </w:rPr>
              <w:t>（对申报项目学生的科研素养及专业要求等）</w:t>
            </w:r>
          </w:p>
          <w:p>
            <w:pPr>
              <w:spacing w:before="156" w:beforeLines="50" w:after="156" w:afterLines="50" w:line="360" w:lineRule="auto"/>
              <w:ind w:firstLine="480" w:firstLineChars="200"/>
              <w:rPr>
                <w:rFonts w:ascii="宋体" w:hAnsi="宋体" w:eastAsia="宋体" w:cs="Times New Roman"/>
                <w:sz w:val="24"/>
                <w:szCs w:val="24"/>
              </w:rPr>
            </w:pPr>
            <w:r>
              <w:rPr>
                <w:rFonts w:hint="eastAsia" w:ascii="楷体" w:hAnsi="楷体" w:eastAsia="楷体" w:cs="Times New Roman"/>
                <w:sz w:val="24"/>
                <w:szCs w:val="24"/>
              </w:rPr>
              <w:t>本科二年级</w:t>
            </w:r>
            <w:r>
              <w:rPr>
                <w:rFonts w:ascii="楷体" w:hAnsi="楷体" w:eastAsia="楷体" w:cs="Times New Roman"/>
                <w:sz w:val="24"/>
                <w:szCs w:val="24"/>
              </w:rPr>
              <w:t>以上，国际经济与贸易专业、国际商务专业优先</w:t>
            </w:r>
            <w:r>
              <w:rPr>
                <w:rFonts w:hint="eastAsia" w:ascii="楷体" w:hAnsi="楷体" w:eastAsia="楷体" w:cs="Times New Roman"/>
                <w:sz w:val="24"/>
                <w:szCs w:val="24"/>
              </w:rPr>
              <w:t>，具有较强的规划能力、思辨能力、写作能力，认真踏实，责任心强。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rPr>
                <w:sz w:val="24"/>
                <w:szCs w:val="24"/>
              </w:rPr>
            </w:pPr>
            <w:r>
              <w:rPr>
                <w:rFonts w:hint="eastAsia"/>
                <w:sz w:val="24"/>
                <w:szCs w:val="24"/>
              </w:rPr>
              <w:t>（拟设项目研究内容、实施过程及成效要求；1000字以内）</w:t>
            </w:r>
          </w:p>
          <w:p>
            <w:pPr>
              <w:spacing w:line="360" w:lineRule="auto"/>
              <w:ind w:firstLine="482" w:firstLineChars="200"/>
              <w:rPr>
                <w:rFonts w:ascii="楷体" w:hAnsi="楷体" w:eastAsia="楷体" w:cs="Times New Roman"/>
                <w:b/>
                <w:sz w:val="24"/>
                <w:szCs w:val="24"/>
              </w:rPr>
            </w:pPr>
          </w:p>
          <w:p>
            <w:pPr>
              <w:spacing w:line="360" w:lineRule="auto"/>
              <w:ind w:firstLine="482" w:firstLineChars="200"/>
              <w:rPr>
                <w:rFonts w:ascii="楷体" w:hAnsi="楷体" w:eastAsia="楷体" w:cs="Times New Roman"/>
                <w:b/>
                <w:sz w:val="24"/>
                <w:szCs w:val="24"/>
              </w:rPr>
            </w:pPr>
            <w:r>
              <w:rPr>
                <w:rFonts w:hint="eastAsia" w:ascii="楷体" w:hAnsi="楷体" w:eastAsia="楷体" w:cs="Times New Roman"/>
                <w:b/>
                <w:sz w:val="24"/>
                <w:szCs w:val="24"/>
              </w:rPr>
              <w:t>（一）</w:t>
            </w:r>
            <w:r>
              <w:rPr>
                <w:rFonts w:ascii="楷体" w:hAnsi="楷体" w:eastAsia="楷体" w:cs="Times New Roman"/>
                <w:b/>
                <w:sz w:val="24"/>
                <w:szCs w:val="24"/>
              </w:rPr>
              <w:t>研究内容</w:t>
            </w:r>
          </w:p>
          <w:p>
            <w:pPr>
              <w:spacing w:line="360" w:lineRule="auto"/>
              <w:ind w:firstLine="480" w:firstLineChars="200"/>
              <w:rPr>
                <w:rFonts w:ascii="楷体" w:hAnsi="楷体" w:eastAsia="楷体" w:cs="Times New Roman"/>
                <w:sz w:val="24"/>
                <w:szCs w:val="24"/>
              </w:rPr>
            </w:pPr>
            <w:r>
              <w:rPr>
                <w:rFonts w:hint="eastAsia" w:ascii="楷体" w:hAnsi="楷体" w:eastAsia="楷体" w:cs="Times New Roman"/>
                <w:sz w:val="24"/>
                <w:szCs w:val="24"/>
              </w:rPr>
              <w:t>本课题基于我国</w:t>
            </w:r>
            <w:r>
              <w:rPr>
                <w:rFonts w:ascii="楷体" w:hAnsi="楷体" w:eastAsia="楷体" w:cs="Times New Roman"/>
                <w:sz w:val="24"/>
                <w:szCs w:val="24"/>
              </w:rPr>
              <w:t>与</w:t>
            </w:r>
            <w:r>
              <w:rPr>
                <w:rFonts w:hint="eastAsia" w:ascii="楷体" w:hAnsi="楷体" w:eastAsia="楷体" w:cs="Times New Roman"/>
                <w:sz w:val="24"/>
                <w:szCs w:val="24"/>
              </w:rPr>
              <w:t>“一带一路”沿线国家的</w:t>
            </w:r>
            <w:r>
              <w:rPr>
                <w:rFonts w:ascii="楷体" w:hAnsi="楷体" w:eastAsia="楷体" w:cs="Times New Roman"/>
                <w:sz w:val="24"/>
                <w:szCs w:val="24"/>
              </w:rPr>
              <w:t>双边</w:t>
            </w:r>
            <w:r>
              <w:rPr>
                <w:rFonts w:hint="eastAsia" w:ascii="楷体" w:hAnsi="楷体" w:eastAsia="楷体" w:cs="Times New Roman"/>
                <w:sz w:val="24"/>
                <w:szCs w:val="24"/>
              </w:rPr>
              <w:t>贸易数据，从</w:t>
            </w:r>
            <w:r>
              <w:rPr>
                <w:rFonts w:ascii="楷体" w:hAnsi="楷体" w:eastAsia="楷体" w:cs="Times New Roman"/>
                <w:sz w:val="24"/>
                <w:szCs w:val="24"/>
              </w:rPr>
              <w:t>理论和实证层面</w:t>
            </w:r>
            <w:r>
              <w:rPr>
                <w:rFonts w:hint="eastAsia" w:ascii="楷体" w:hAnsi="楷体" w:eastAsia="楷体" w:cs="Times New Roman"/>
                <w:sz w:val="24"/>
                <w:szCs w:val="24"/>
              </w:rPr>
              <w:t>论证不同人民币国际化水平下我</w:t>
            </w:r>
            <w:r>
              <w:rPr>
                <w:rFonts w:ascii="楷体" w:hAnsi="楷体" w:eastAsia="楷体" w:cs="Times New Roman"/>
                <w:sz w:val="24"/>
                <w:szCs w:val="24"/>
              </w:rPr>
              <w:t>国与沿线国家</w:t>
            </w:r>
            <w:r>
              <w:rPr>
                <w:rFonts w:hint="eastAsia" w:ascii="楷体" w:hAnsi="楷体" w:eastAsia="楷体" w:cs="Times New Roman"/>
                <w:sz w:val="24"/>
                <w:szCs w:val="24"/>
              </w:rPr>
              <w:t>金融发展</w:t>
            </w:r>
            <w:r>
              <w:rPr>
                <w:rFonts w:hint="eastAsia" w:ascii="楷体" w:hAnsi="楷体" w:eastAsia="楷体"/>
                <w:sz w:val="24"/>
                <w:szCs w:val="24"/>
              </w:rPr>
              <w:t>差异</w:t>
            </w:r>
            <w:r>
              <w:rPr>
                <w:rFonts w:hint="eastAsia" w:ascii="楷体" w:hAnsi="楷体" w:eastAsia="楷体" w:cs="Times New Roman"/>
                <w:sz w:val="24"/>
                <w:szCs w:val="24"/>
              </w:rPr>
              <w:t>对双边贸易的异质性影响</w:t>
            </w:r>
            <w:r>
              <w:rPr>
                <w:rFonts w:ascii="楷体" w:hAnsi="楷体" w:eastAsia="楷体" w:cs="Times New Roman"/>
                <w:sz w:val="24"/>
                <w:szCs w:val="24"/>
              </w:rPr>
              <w:t>和</w:t>
            </w:r>
            <w:r>
              <w:rPr>
                <w:rFonts w:hint="eastAsia" w:ascii="楷体" w:hAnsi="楷体" w:eastAsia="楷体" w:cs="Times New Roman"/>
                <w:sz w:val="24"/>
                <w:szCs w:val="24"/>
              </w:rPr>
              <w:t>门槛</w:t>
            </w:r>
            <w:r>
              <w:rPr>
                <w:rFonts w:ascii="楷体" w:hAnsi="楷体" w:eastAsia="楷体" w:cs="Times New Roman"/>
                <w:sz w:val="24"/>
                <w:szCs w:val="24"/>
              </w:rPr>
              <w:t>效应</w:t>
            </w:r>
            <w:r>
              <w:rPr>
                <w:rFonts w:hint="eastAsia" w:ascii="楷体" w:hAnsi="楷体" w:eastAsia="楷体" w:cs="Times New Roman"/>
                <w:sz w:val="24"/>
                <w:szCs w:val="24"/>
              </w:rPr>
              <w:t>，进而提出</w:t>
            </w:r>
            <w:r>
              <w:rPr>
                <w:rFonts w:ascii="楷体" w:hAnsi="楷体" w:eastAsia="楷体" w:cs="Times New Roman"/>
                <w:sz w:val="24"/>
                <w:szCs w:val="24"/>
              </w:rPr>
              <w:t>针对性</w:t>
            </w:r>
            <w:r>
              <w:rPr>
                <w:rFonts w:hint="eastAsia" w:ascii="楷体" w:hAnsi="楷体" w:eastAsia="楷体" w:cs="Times New Roman"/>
                <w:sz w:val="24"/>
                <w:szCs w:val="24"/>
              </w:rPr>
              <w:t>的</w:t>
            </w:r>
            <w:r>
              <w:rPr>
                <w:rFonts w:ascii="楷体" w:hAnsi="楷体" w:eastAsia="楷体" w:cs="Times New Roman"/>
                <w:sz w:val="24"/>
                <w:szCs w:val="24"/>
              </w:rPr>
              <w:t>对策建议</w:t>
            </w:r>
            <w:r>
              <w:rPr>
                <w:rFonts w:hint="eastAsia" w:ascii="楷体" w:hAnsi="楷体" w:eastAsia="楷体" w:cs="Times New Roman"/>
                <w:sz w:val="24"/>
                <w:szCs w:val="24"/>
              </w:rPr>
              <w:t xml:space="preserve">。 </w:t>
            </w:r>
          </w:p>
          <w:p>
            <w:pPr>
              <w:spacing w:line="360" w:lineRule="auto"/>
              <w:ind w:firstLine="480" w:firstLineChars="200"/>
              <w:rPr>
                <w:rFonts w:ascii="楷体" w:hAnsi="楷体" w:eastAsia="楷体" w:cs="Times New Roman"/>
                <w:sz w:val="24"/>
                <w:szCs w:val="24"/>
              </w:rPr>
            </w:pPr>
            <w:r>
              <w:rPr>
                <w:rFonts w:hint="eastAsia" w:ascii="楷体" w:hAnsi="楷体" w:eastAsia="楷体" w:cs="Times New Roman"/>
                <w:sz w:val="24"/>
                <w:szCs w:val="24"/>
              </w:rPr>
              <w:t>本课题</w:t>
            </w:r>
            <w:r>
              <w:rPr>
                <w:rFonts w:ascii="楷体" w:hAnsi="楷体" w:eastAsia="楷体" w:cs="Times New Roman"/>
                <w:sz w:val="24"/>
                <w:szCs w:val="24"/>
              </w:rPr>
              <w:t>主要包括</w:t>
            </w:r>
            <w:r>
              <w:rPr>
                <w:rFonts w:hint="eastAsia" w:ascii="楷体" w:hAnsi="楷体" w:eastAsia="楷体" w:cs="Times New Roman"/>
                <w:sz w:val="24"/>
                <w:szCs w:val="24"/>
              </w:rPr>
              <w:t>以下</w:t>
            </w:r>
            <w:r>
              <w:rPr>
                <w:rFonts w:ascii="楷体" w:hAnsi="楷体" w:eastAsia="楷体" w:cs="Times New Roman"/>
                <w:sz w:val="24"/>
                <w:szCs w:val="24"/>
              </w:rPr>
              <w:t>三个部分：</w:t>
            </w:r>
          </w:p>
          <w:p>
            <w:pPr>
              <w:spacing w:line="360" w:lineRule="auto"/>
              <w:ind w:firstLine="482" w:firstLineChars="200"/>
              <w:rPr>
                <w:rFonts w:ascii="Times New Roman" w:hAnsi="Times New Roman" w:eastAsia="楷体" w:cs="Times New Roman"/>
                <w:b/>
                <w:sz w:val="24"/>
                <w:szCs w:val="24"/>
              </w:rPr>
            </w:pPr>
            <w:r>
              <w:rPr>
                <w:rFonts w:ascii="Times New Roman" w:hAnsi="Times New Roman" w:eastAsia="楷体" w:cs="Times New Roman"/>
                <w:b/>
                <w:sz w:val="24"/>
                <w:szCs w:val="24"/>
              </w:rPr>
              <w:t>1.理论</w:t>
            </w:r>
            <w:r>
              <w:rPr>
                <w:rFonts w:hint="eastAsia" w:ascii="Times New Roman" w:hAnsi="Times New Roman" w:eastAsia="楷体" w:cs="Times New Roman"/>
                <w:b/>
                <w:sz w:val="24"/>
                <w:szCs w:val="24"/>
              </w:rPr>
              <w:t>研究</w:t>
            </w:r>
          </w:p>
          <w:p>
            <w:pPr>
              <w:spacing w:line="36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构建理论分析框架，论证在不同的人民币国际化水平下两国金融发展差异对双边贸易的异质性影响，把握金融发展差异对双边贸易的门槛特征。</w:t>
            </w:r>
          </w:p>
          <w:p>
            <w:pPr>
              <w:spacing w:line="360" w:lineRule="auto"/>
              <w:ind w:firstLine="482" w:firstLineChars="200"/>
              <w:rPr>
                <w:rFonts w:ascii="Times New Roman" w:hAnsi="Times New Roman" w:eastAsia="楷体" w:cs="Times New Roman"/>
                <w:b/>
                <w:sz w:val="24"/>
                <w:szCs w:val="24"/>
              </w:rPr>
            </w:pPr>
            <w:r>
              <w:rPr>
                <w:rFonts w:ascii="Times New Roman" w:hAnsi="Times New Roman" w:eastAsia="楷体" w:cs="Times New Roman"/>
                <w:b/>
                <w:sz w:val="24"/>
                <w:szCs w:val="24"/>
              </w:rPr>
              <w:t>2.实证</w:t>
            </w:r>
            <w:r>
              <w:rPr>
                <w:rFonts w:hint="eastAsia" w:ascii="Times New Roman" w:hAnsi="Times New Roman" w:eastAsia="楷体" w:cs="Times New Roman"/>
                <w:b/>
                <w:sz w:val="24"/>
                <w:szCs w:val="24"/>
              </w:rPr>
              <w:t>研究</w:t>
            </w:r>
          </w:p>
          <w:p>
            <w:pPr>
              <w:spacing w:line="360" w:lineRule="auto"/>
              <w:ind w:firstLine="360" w:firstLineChars="150"/>
              <w:rPr>
                <w:rFonts w:ascii="Times New Roman" w:hAnsi="Times New Roman" w:eastAsia="楷体" w:cs="Times New Roman"/>
                <w:sz w:val="24"/>
                <w:szCs w:val="24"/>
              </w:rPr>
            </w:pPr>
            <w:r>
              <w:rPr>
                <w:rFonts w:ascii="Times New Roman" w:hAnsi="Times New Roman" w:eastAsia="楷体" w:cs="Times New Roman"/>
                <w:sz w:val="24"/>
                <w:szCs w:val="24"/>
              </w:rPr>
              <w:t>（1）建立基准回归模型和门槛回归模型</w:t>
            </w:r>
          </w:p>
          <w:p>
            <w:pPr>
              <w:spacing w:line="360" w:lineRule="auto"/>
              <w:ind w:firstLine="360" w:firstLineChars="150"/>
              <w:rPr>
                <w:rFonts w:ascii="Times New Roman" w:hAnsi="Times New Roman" w:eastAsia="楷体" w:cs="Times New Roman"/>
                <w:sz w:val="24"/>
                <w:szCs w:val="24"/>
              </w:rPr>
            </w:pPr>
            <w:r>
              <w:rPr>
                <w:rFonts w:ascii="Times New Roman" w:hAnsi="Times New Roman" w:eastAsia="楷体" w:cs="Times New Roman"/>
                <w:sz w:val="24"/>
                <w:szCs w:val="24"/>
              </w:rPr>
              <w:t>（2）对变量和数据进行说明</w:t>
            </w:r>
          </w:p>
          <w:p>
            <w:pPr>
              <w:spacing w:line="360" w:lineRule="auto"/>
              <w:ind w:firstLine="360" w:firstLineChars="150"/>
              <w:rPr>
                <w:rFonts w:ascii="楷体" w:hAnsi="楷体" w:eastAsia="楷体" w:cs="Times New Roman"/>
                <w:sz w:val="24"/>
                <w:szCs w:val="24"/>
              </w:rPr>
            </w:pPr>
            <w:r>
              <w:rPr>
                <w:rFonts w:ascii="Times New Roman" w:hAnsi="Times New Roman" w:eastAsia="楷体" w:cs="Times New Roman"/>
                <w:sz w:val="24"/>
                <w:szCs w:val="24"/>
              </w:rPr>
              <w:t>（3）</w:t>
            </w:r>
            <w:r>
              <w:rPr>
                <w:rFonts w:hint="eastAsia" w:ascii="楷体" w:hAnsi="楷体" w:eastAsia="楷体" w:cs="Times New Roman"/>
                <w:sz w:val="24"/>
                <w:szCs w:val="24"/>
              </w:rPr>
              <w:t>实证回归与结果分析</w:t>
            </w:r>
          </w:p>
          <w:p>
            <w:pPr>
              <w:spacing w:line="360" w:lineRule="auto"/>
              <w:ind w:firstLine="482" w:firstLineChars="200"/>
              <w:rPr>
                <w:rFonts w:ascii="Times New Roman" w:hAnsi="Times New Roman" w:eastAsia="楷体" w:cs="Times New Roman"/>
                <w:b/>
                <w:sz w:val="24"/>
                <w:szCs w:val="24"/>
              </w:rPr>
            </w:pPr>
            <w:r>
              <w:rPr>
                <w:rFonts w:hint="eastAsia" w:ascii="Times New Roman" w:hAnsi="Times New Roman" w:eastAsia="楷体" w:cs="Times New Roman"/>
                <w:b/>
                <w:sz w:val="24"/>
                <w:szCs w:val="24"/>
              </w:rPr>
              <w:t>3.对策研究</w:t>
            </w:r>
          </w:p>
          <w:p>
            <w:pPr>
              <w:spacing w:line="360" w:lineRule="auto"/>
              <w:ind w:firstLine="480" w:firstLineChars="200"/>
              <w:rPr>
                <w:rFonts w:ascii="楷体" w:hAnsi="楷体" w:eastAsia="楷体" w:cs="Times New Roman"/>
                <w:sz w:val="24"/>
                <w:szCs w:val="24"/>
              </w:rPr>
            </w:pPr>
            <w:r>
              <w:rPr>
                <w:rFonts w:hint="eastAsia" w:ascii="楷体" w:hAnsi="楷体" w:eastAsia="楷体" w:cs="Times New Roman"/>
                <w:sz w:val="24"/>
                <w:szCs w:val="24"/>
              </w:rPr>
              <w:t>基于研究</w:t>
            </w:r>
            <w:r>
              <w:rPr>
                <w:rFonts w:ascii="楷体" w:hAnsi="楷体" w:eastAsia="楷体" w:cs="Times New Roman"/>
                <w:sz w:val="24"/>
                <w:szCs w:val="24"/>
              </w:rPr>
              <w:t>结论，为</w:t>
            </w:r>
            <w:r>
              <w:rPr>
                <w:rFonts w:hint="eastAsia" w:ascii="楷体" w:hAnsi="楷体" w:eastAsia="楷体" w:cs="Times New Roman"/>
                <w:sz w:val="24"/>
                <w:szCs w:val="24"/>
              </w:rPr>
              <w:t>当前“双循环”新</w:t>
            </w:r>
            <w:r>
              <w:rPr>
                <w:rFonts w:ascii="楷体" w:hAnsi="楷体" w:eastAsia="楷体" w:cs="Times New Roman"/>
                <w:sz w:val="24"/>
                <w:szCs w:val="24"/>
              </w:rPr>
              <w:t>发展</w:t>
            </w:r>
            <w:r>
              <w:rPr>
                <w:rFonts w:hint="eastAsia" w:ascii="楷体" w:hAnsi="楷体" w:eastAsia="楷体" w:cs="Times New Roman"/>
                <w:sz w:val="24"/>
                <w:szCs w:val="24"/>
              </w:rPr>
              <w:t>格局</w:t>
            </w:r>
            <w:r>
              <w:rPr>
                <w:rFonts w:ascii="楷体" w:hAnsi="楷体" w:eastAsia="楷体" w:cs="Times New Roman"/>
                <w:sz w:val="24"/>
                <w:szCs w:val="24"/>
              </w:rPr>
              <w:t>下</w:t>
            </w:r>
            <w:r>
              <w:rPr>
                <w:rFonts w:hint="eastAsia" w:ascii="楷体" w:hAnsi="楷体" w:eastAsia="楷体" w:cs="Times New Roman"/>
                <w:sz w:val="24"/>
                <w:szCs w:val="24"/>
              </w:rPr>
              <w:t>我国深化金融</w:t>
            </w:r>
            <w:r>
              <w:rPr>
                <w:rFonts w:ascii="楷体" w:hAnsi="楷体" w:eastAsia="楷体" w:cs="Times New Roman"/>
                <w:sz w:val="24"/>
                <w:szCs w:val="24"/>
              </w:rPr>
              <w:t>市场</w:t>
            </w:r>
            <w:r>
              <w:rPr>
                <w:rFonts w:hint="eastAsia" w:ascii="楷体" w:hAnsi="楷体" w:eastAsia="楷体" w:cs="Times New Roman"/>
                <w:sz w:val="24"/>
                <w:szCs w:val="24"/>
              </w:rPr>
              <w:t>改革和</w:t>
            </w:r>
            <w:r>
              <w:rPr>
                <w:rFonts w:ascii="楷体" w:hAnsi="楷体" w:eastAsia="楷体" w:cs="Times New Roman"/>
                <w:sz w:val="24"/>
                <w:szCs w:val="24"/>
              </w:rPr>
              <w:t>扩大对外贸易</w:t>
            </w:r>
            <w:r>
              <w:rPr>
                <w:rFonts w:hint="eastAsia" w:ascii="楷体" w:hAnsi="楷体" w:eastAsia="楷体" w:cs="Times New Roman"/>
                <w:sz w:val="24"/>
                <w:szCs w:val="24"/>
              </w:rPr>
              <w:t>提供针对性</w:t>
            </w:r>
            <w:r>
              <w:rPr>
                <w:rFonts w:ascii="楷体" w:hAnsi="楷体" w:eastAsia="楷体" w:cs="Times New Roman"/>
                <w:sz w:val="24"/>
                <w:szCs w:val="24"/>
              </w:rPr>
              <w:t>的对策建议。</w:t>
            </w:r>
          </w:p>
          <w:p>
            <w:pPr>
              <w:spacing w:line="360" w:lineRule="auto"/>
              <w:ind w:firstLine="482" w:firstLineChars="200"/>
              <w:rPr>
                <w:rFonts w:ascii="楷体" w:hAnsi="楷体" w:eastAsia="楷体" w:cs="Times New Roman"/>
                <w:b/>
                <w:sz w:val="24"/>
                <w:szCs w:val="24"/>
              </w:rPr>
            </w:pPr>
            <w:r>
              <w:rPr>
                <w:rFonts w:hint="eastAsia" w:ascii="楷体" w:hAnsi="楷体" w:eastAsia="楷体" w:cs="Times New Roman"/>
                <w:b/>
                <w:sz w:val="24"/>
                <w:szCs w:val="24"/>
              </w:rPr>
              <w:t>（二）</w:t>
            </w:r>
            <w:r>
              <w:rPr>
                <w:rFonts w:ascii="楷体" w:hAnsi="楷体" w:eastAsia="楷体" w:cs="Times New Roman"/>
                <w:b/>
                <w:sz w:val="24"/>
                <w:szCs w:val="24"/>
              </w:rPr>
              <w:t>实施过程</w:t>
            </w:r>
          </w:p>
          <w:p>
            <w:pPr>
              <w:spacing w:line="360" w:lineRule="auto"/>
              <w:ind w:firstLine="480" w:firstLineChars="200"/>
              <w:rPr>
                <w:rFonts w:ascii="楷体" w:hAnsi="楷体" w:eastAsia="楷体" w:cs="Times New Roman"/>
                <w:sz w:val="24"/>
                <w:szCs w:val="24"/>
              </w:rPr>
            </w:pPr>
            <w:r>
              <w:rPr>
                <w:rFonts w:hint="eastAsia" w:ascii="楷体" w:hAnsi="楷体" w:eastAsia="楷体" w:cs="Times New Roman"/>
                <w:sz w:val="24"/>
                <w:szCs w:val="24"/>
              </w:rPr>
              <w:t>学生应当结合项目主题梳理相关文献，对</w:t>
            </w:r>
            <w:r>
              <w:rPr>
                <w:rFonts w:ascii="楷体" w:hAnsi="楷体" w:eastAsia="楷体" w:cs="Times New Roman"/>
                <w:sz w:val="24"/>
                <w:szCs w:val="24"/>
              </w:rPr>
              <w:t>既有</w:t>
            </w:r>
            <w:r>
              <w:rPr>
                <w:rFonts w:hint="eastAsia" w:ascii="楷体" w:hAnsi="楷体" w:eastAsia="楷体" w:cs="Times New Roman"/>
                <w:sz w:val="24"/>
                <w:szCs w:val="24"/>
              </w:rPr>
              <w:t>相关文献进行评述；与指导教师沟通并构建</w:t>
            </w:r>
            <w:r>
              <w:rPr>
                <w:rFonts w:ascii="楷体" w:hAnsi="楷体" w:eastAsia="楷体" w:cs="Times New Roman"/>
                <w:sz w:val="24"/>
                <w:szCs w:val="24"/>
              </w:rPr>
              <w:t>理论分析框架，</w:t>
            </w:r>
            <w:r>
              <w:rPr>
                <w:rFonts w:hint="eastAsia" w:ascii="楷体" w:hAnsi="楷体" w:eastAsia="楷体" w:cs="Times New Roman"/>
                <w:sz w:val="24"/>
                <w:szCs w:val="24"/>
              </w:rPr>
              <w:t>明确</w:t>
            </w:r>
            <w:r>
              <w:rPr>
                <w:rFonts w:ascii="楷体" w:hAnsi="楷体" w:eastAsia="楷体" w:cs="Times New Roman"/>
                <w:sz w:val="24"/>
                <w:szCs w:val="24"/>
              </w:rPr>
              <w:t>研究假设</w:t>
            </w:r>
            <w:r>
              <w:rPr>
                <w:rFonts w:hint="eastAsia" w:ascii="楷体" w:hAnsi="楷体" w:eastAsia="楷体" w:cs="Times New Roman"/>
                <w:sz w:val="24"/>
                <w:szCs w:val="24"/>
              </w:rPr>
              <w:t>；根据研究假设构建恰当</w:t>
            </w:r>
            <w:r>
              <w:rPr>
                <w:rFonts w:ascii="楷体" w:hAnsi="楷体" w:eastAsia="楷体" w:cs="Times New Roman"/>
                <w:sz w:val="24"/>
                <w:szCs w:val="24"/>
              </w:rPr>
              <w:t>的</w:t>
            </w:r>
            <w:r>
              <w:rPr>
                <w:rFonts w:hint="eastAsia" w:ascii="楷体" w:hAnsi="楷体" w:eastAsia="楷体" w:cs="Times New Roman"/>
                <w:sz w:val="24"/>
                <w:szCs w:val="24"/>
              </w:rPr>
              <w:t>计量</w:t>
            </w:r>
            <w:r>
              <w:rPr>
                <w:rFonts w:ascii="楷体" w:hAnsi="楷体" w:eastAsia="楷体" w:cs="Times New Roman"/>
                <w:sz w:val="24"/>
                <w:szCs w:val="24"/>
              </w:rPr>
              <w:t>模型，</w:t>
            </w:r>
            <w:r>
              <w:rPr>
                <w:rFonts w:hint="eastAsia" w:ascii="楷体" w:hAnsi="楷体" w:eastAsia="楷体" w:cs="Times New Roman"/>
                <w:sz w:val="24"/>
                <w:szCs w:val="24"/>
              </w:rPr>
              <w:t>选择合适</w:t>
            </w:r>
            <w:r>
              <w:rPr>
                <w:rFonts w:ascii="楷体" w:hAnsi="楷体" w:eastAsia="楷体" w:cs="Times New Roman"/>
                <w:sz w:val="24"/>
                <w:szCs w:val="24"/>
              </w:rPr>
              <w:t>的变量</w:t>
            </w:r>
            <w:r>
              <w:rPr>
                <w:rFonts w:hint="eastAsia" w:ascii="楷体" w:hAnsi="楷体" w:eastAsia="楷体" w:cs="Times New Roman"/>
                <w:sz w:val="24"/>
                <w:szCs w:val="24"/>
              </w:rPr>
              <w:t>，</w:t>
            </w:r>
            <w:r>
              <w:rPr>
                <w:rFonts w:ascii="楷体" w:hAnsi="楷体" w:eastAsia="楷体" w:cs="Times New Roman"/>
                <w:sz w:val="24"/>
                <w:szCs w:val="24"/>
              </w:rPr>
              <w:t>搜集数据对变量进行刻画</w:t>
            </w:r>
            <w:r>
              <w:rPr>
                <w:rFonts w:hint="eastAsia" w:ascii="楷体" w:hAnsi="楷体" w:eastAsia="楷体" w:cs="Times New Roman"/>
                <w:sz w:val="24"/>
                <w:szCs w:val="24"/>
              </w:rPr>
              <w:t>；运用计量软件完成实证分析，结合</w:t>
            </w:r>
            <w:r>
              <w:rPr>
                <w:rFonts w:ascii="楷体" w:hAnsi="楷体" w:eastAsia="楷体" w:cs="Times New Roman"/>
                <w:sz w:val="24"/>
                <w:szCs w:val="24"/>
              </w:rPr>
              <w:t>研究假设对实证设计</w:t>
            </w:r>
            <w:r>
              <w:rPr>
                <w:rFonts w:hint="eastAsia" w:ascii="楷体" w:hAnsi="楷体" w:eastAsia="楷体" w:cs="Times New Roman"/>
                <w:sz w:val="24"/>
                <w:szCs w:val="24"/>
              </w:rPr>
              <w:t>进行适当的调整和改进；待研究结果符合预期后，对</w:t>
            </w:r>
            <w:r>
              <w:rPr>
                <w:rFonts w:ascii="楷体" w:hAnsi="楷体" w:eastAsia="楷体" w:cs="Times New Roman"/>
                <w:sz w:val="24"/>
                <w:szCs w:val="24"/>
              </w:rPr>
              <w:t>实证结果进行</w:t>
            </w:r>
            <w:r>
              <w:rPr>
                <w:rFonts w:hint="eastAsia" w:ascii="楷体" w:hAnsi="楷体" w:eastAsia="楷体" w:cs="Times New Roman"/>
                <w:sz w:val="24"/>
                <w:szCs w:val="24"/>
              </w:rPr>
              <w:t>深入</w:t>
            </w:r>
            <w:r>
              <w:rPr>
                <w:rFonts w:ascii="楷体" w:hAnsi="楷体" w:eastAsia="楷体" w:cs="Times New Roman"/>
                <w:sz w:val="24"/>
                <w:szCs w:val="24"/>
              </w:rPr>
              <w:t>解读</w:t>
            </w:r>
            <w:r>
              <w:rPr>
                <w:rFonts w:hint="eastAsia" w:ascii="楷体" w:hAnsi="楷体" w:eastAsia="楷体" w:cs="Times New Roman"/>
                <w:sz w:val="24"/>
                <w:szCs w:val="24"/>
              </w:rPr>
              <w:t>；整理</w:t>
            </w:r>
            <w:r>
              <w:rPr>
                <w:rFonts w:ascii="楷体" w:hAnsi="楷体" w:eastAsia="楷体" w:cs="Times New Roman"/>
                <w:sz w:val="24"/>
                <w:szCs w:val="24"/>
              </w:rPr>
              <w:t>研究结论并提出针对性的对策建议</w:t>
            </w:r>
            <w:r>
              <w:rPr>
                <w:rFonts w:hint="eastAsia" w:ascii="楷体" w:hAnsi="楷体" w:eastAsia="楷体" w:cs="Times New Roman"/>
                <w:sz w:val="24"/>
                <w:szCs w:val="24"/>
              </w:rPr>
              <w:t>；在老师的指导下完成研究报告的撰写和其他相关事项。</w:t>
            </w:r>
          </w:p>
          <w:p>
            <w:pPr>
              <w:spacing w:line="360" w:lineRule="auto"/>
              <w:ind w:firstLine="482" w:firstLineChars="200"/>
              <w:rPr>
                <w:rFonts w:ascii="楷体" w:hAnsi="楷体" w:eastAsia="楷体" w:cs="Times New Roman"/>
                <w:b/>
                <w:sz w:val="24"/>
                <w:szCs w:val="24"/>
              </w:rPr>
            </w:pPr>
            <w:r>
              <w:rPr>
                <w:rFonts w:hint="eastAsia" w:ascii="楷体" w:hAnsi="楷体" w:eastAsia="楷体" w:cs="Times New Roman"/>
                <w:b/>
                <w:sz w:val="24"/>
                <w:szCs w:val="24"/>
              </w:rPr>
              <w:t>（三）</w:t>
            </w:r>
            <w:r>
              <w:rPr>
                <w:rFonts w:ascii="楷体" w:hAnsi="楷体" w:eastAsia="楷体" w:cs="Times New Roman"/>
                <w:b/>
                <w:sz w:val="24"/>
                <w:szCs w:val="24"/>
              </w:rPr>
              <w:t>成效要求</w:t>
            </w:r>
          </w:p>
          <w:p>
            <w:pPr>
              <w:spacing w:line="360" w:lineRule="auto"/>
              <w:ind w:firstLine="480" w:firstLineChars="200"/>
              <w:rPr>
                <w:rFonts w:ascii="楷体" w:hAnsi="楷体" w:eastAsia="楷体" w:cs="Times New Roman"/>
                <w:sz w:val="24"/>
                <w:szCs w:val="24"/>
              </w:rPr>
            </w:pPr>
            <w:r>
              <w:rPr>
                <w:rFonts w:ascii="Times New Roman" w:hAnsi="Times New Roman" w:eastAsia="楷体" w:cs="Times New Roman"/>
                <w:sz w:val="24"/>
                <w:szCs w:val="24"/>
              </w:rPr>
              <w:t>1.</w:t>
            </w:r>
            <w:r>
              <w:rPr>
                <w:rFonts w:hint="eastAsia" w:ascii="楷体" w:hAnsi="楷体" w:eastAsia="楷体" w:cs="Times New Roman"/>
                <w:sz w:val="24"/>
                <w:szCs w:val="24"/>
              </w:rPr>
              <w:t>完成并</w:t>
            </w:r>
            <w:r>
              <w:rPr>
                <w:rFonts w:ascii="楷体" w:hAnsi="楷体" w:eastAsia="楷体" w:cs="Times New Roman"/>
                <w:sz w:val="24"/>
                <w:szCs w:val="24"/>
              </w:rPr>
              <w:t>发表</w:t>
            </w:r>
            <w:r>
              <w:rPr>
                <w:rFonts w:hint="eastAsia" w:ascii="楷体" w:hAnsi="楷体" w:eastAsia="楷体" w:cs="Times New Roman"/>
                <w:sz w:val="24"/>
                <w:szCs w:val="24"/>
              </w:rPr>
              <w:t>一篇严谨的学术论文《人民币国际化、金融发展差异与双边贸易——基于“一带一路”国家面板门槛模型的分析》。</w:t>
            </w:r>
          </w:p>
          <w:p>
            <w:pPr>
              <w:spacing w:line="360" w:lineRule="auto"/>
              <w:ind w:firstLine="480" w:firstLineChars="200"/>
              <w:rPr>
                <w:rFonts w:ascii="楷体" w:hAnsi="楷体" w:eastAsia="楷体" w:cs="Times New Roman"/>
                <w:sz w:val="24"/>
                <w:szCs w:val="24"/>
              </w:rPr>
            </w:pPr>
            <w:r>
              <w:rPr>
                <w:rFonts w:ascii="Times New Roman" w:hAnsi="Times New Roman" w:eastAsia="楷体" w:cs="Times New Roman"/>
                <w:sz w:val="24"/>
                <w:szCs w:val="24"/>
              </w:rPr>
              <w:t>2.</w:t>
            </w:r>
            <w:r>
              <w:rPr>
                <w:rFonts w:hint="eastAsia" w:ascii="楷体" w:hAnsi="楷体" w:eastAsia="楷体" w:cs="Times New Roman"/>
                <w:sz w:val="24"/>
                <w:szCs w:val="24"/>
              </w:rPr>
              <w:t>研究结论与政策建议为相关实践部门提供理论支撑和决策依据，为“双循环”新</w:t>
            </w:r>
            <w:r>
              <w:rPr>
                <w:rFonts w:ascii="楷体" w:hAnsi="楷体" w:eastAsia="楷体" w:cs="Times New Roman"/>
                <w:sz w:val="24"/>
                <w:szCs w:val="24"/>
              </w:rPr>
              <w:t>发展格局下</w:t>
            </w:r>
            <w:r>
              <w:rPr>
                <w:rFonts w:hint="eastAsia" w:ascii="楷体" w:hAnsi="楷体" w:eastAsia="楷体" w:cs="Times New Roman"/>
                <w:sz w:val="24"/>
                <w:szCs w:val="24"/>
              </w:rPr>
              <w:t>我国深挖</w:t>
            </w:r>
            <w:r>
              <w:rPr>
                <w:rFonts w:ascii="楷体" w:hAnsi="楷体" w:eastAsia="楷体" w:cs="Times New Roman"/>
                <w:sz w:val="24"/>
                <w:szCs w:val="24"/>
              </w:rPr>
              <w:t>对外贸易</w:t>
            </w:r>
            <w:r>
              <w:rPr>
                <w:rFonts w:hint="eastAsia" w:ascii="楷体" w:hAnsi="楷体" w:eastAsia="楷体" w:cs="Times New Roman"/>
                <w:sz w:val="24"/>
                <w:szCs w:val="24"/>
              </w:rPr>
              <w:t>潜力和</w:t>
            </w:r>
            <w:r>
              <w:rPr>
                <w:rFonts w:ascii="楷体" w:hAnsi="楷体" w:eastAsia="楷体" w:cs="Times New Roman"/>
                <w:sz w:val="24"/>
                <w:szCs w:val="24"/>
              </w:rPr>
              <w:t>提升</w:t>
            </w:r>
            <w:r>
              <w:rPr>
                <w:rFonts w:hint="eastAsia" w:ascii="楷体" w:hAnsi="楷体" w:eastAsia="楷体" w:cs="Times New Roman"/>
                <w:sz w:val="24"/>
                <w:szCs w:val="24"/>
              </w:rPr>
              <w:t>对外贸易</w:t>
            </w:r>
            <w:r>
              <w:rPr>
                <w:rFonts w:ascii="楷体" w:hAnsi="楷体" w:eastAsia="楷体" w:cs="Times New Roman"/>
                <w:sz w:val="24"/>
                <w:szCs w:val="24"/>
              </w:rPr>
              <w:t>水平</w:t>
            </w:r>
            <w:r>
              <w:rPr>
                <w:rFonts w:hint="eastAsia" w:ascii="楷体" w:hAnsi="楷体" w:eastAsia="楷体" w:cs="Times New Roman"/>
                <w:sz w:val="24"/>
                <w:szCs w:val="24"/>
              </w:rPr>
              <w:t>提供</w:t>
            </w:r>
            <w:r>
              <w:rPr>
                <w:rFonts w:ascii="楷体" w:hAnsi="楷体" w:eastAsia="楷体" w:cs="Times New Roman"/>
                <w:sz w:val="24"/>
                <w:szCs w:val="24"/>
              </w:rPr>
              <w:t>智力支持</w:t>
            </w:r>
            <w:r>
              <w:rPr>
                <w:rFonts w:hint="eastAsia" w:ascii="楷体" w:hAnsi="楷体" w:eastAsia="楷体" w:cs="Times New Roman"/>
                <w:sz w:val="24"/>
                <w:szCs w:val="24"/>
              </w:rPr>
              <w:t>。</w:t>
            </w:r>
          </w:p>
          <w:p>
            <w:pPr>
              <w:spacing w:line="360" w:lineRule="auto"/>
              <w:ind w:firstLine="480" w:firstLineChars="200"/>
              <w:rPr>
                <w:rFonts w:ascii="楷体" w:hAnsi="楷体" w:eastAsia="楷体" w:cs="Times New Roman"/>
                <w:sz w:val="24"/>
                <w:szCs w:val="24"/>
              </w:rPr>
            </w:pPr>
          </w:p>
        </w:tc>
      </w:tr>
    </w:tbl>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07616A"/>
    <w:rsid w:val="000C05CE"/>
    <w:rsid w:val="001002B6"/>
    <w:rsid w:val="0016709A"/>
    <w:rsid w:val="002C390A"/>
    <w:rsid w:val="002E7B7E"/>
    <w:rsid w:val="0032663E"/>
    <w:rsid w:val="00351D6A"/>
    <w:rsid w:val="003923A9"/>
    <w:rsid w:val="0040059C"/>
    <w:rsid w:val="00480C01"/>
    <w:rsid w:val="005344FD"/>
    <w:rsid w:val="005E6263"/>
    <w:rsid w:val="0064207E"/>
    <w:rsid w:val="007D349A"/>
    <w:rsid w:val="007E4390"/>
    <w:rsid w:val="00857D8D"/>
    <w:rsid w:val="00874963"/>
    <w:rsid w:val="00A22A15"/>
    <w:rsid w:val="00AD7A9A"/>
    <w:rsid w:val="00BF0494"/>
    <w:rsid w:val="00D14F40"/>
    <w:rsid w:val="00D365B1"/>
    <w:rsid w:val="00D85D2F"/>
    <w:rsid w:val="00E62D96"/>
    <w:rsid w:val="00FB549D"/>
    <w:rsid w:val="06825E37"/>
    <w:rsid w:val="07D2753B"/>
    <w:rsid w:val="0D0C1773"/>
    <w:rsid w:val="0E6B4B00"/>
    <w:rsid w:val="16960943"/>
    <w:rsid w:val="22F3444D"/>
    <w:rsid w:val="319262CF"/>
    <w:rsid w:val="46E60F8D"/>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kern w:val="2"/>
      <w:sz w:val="18"/>
      <w:szCs w:val="18"/>
    </w:rPr>
  </w:style>
  <w:style w:type="character" w:customStyle="1" w:styleId="8">
    <w:name w:val="页脚 字符"/>
    <w:basedOn w:val="6"/>
    <w:link w:val="2"/>
    <w:uiPriority w:val="99"/>
    <w:rPr>
      <w:kern w:val="2"/>
      <w:sz w:val="18"/>
      <w:szCs w:val="18"/>
    </w:rPr>
  </w:style>
  <w:style w:type="paragraph" w:styleId="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jwc</Company>
  <Pages>3</Pages>
  <Words>218</Words>
  <Characters>1244</Characters>
  <Lines>10</Lines>
  <Paragraphs>2</Paragraphs>
  <TotalTime>70</TotalTime>
  <ScaleCrop>false</ScaleCrop>
  <LinksUpToDate>false</LinksUpToDate>
  <CharactersWithSpaces>1460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2021-03-19T04:27:00Z</dcterms:created>
  <dc:creator>钟杰</dc:creator>
  <cp:lastModifiedBy>薛之谦的暖棉毯</cp:lastModifiedBy>
  <dcterms:modified xsi:type="dcterms:W3CDTF">2021-03-26T06:30:46Z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